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8" w:rsidRDefault="00D104E8" w:rsidP="00EA7B29">
      <w:pPr>
        <w:tabs>
          <w:tab w:val="left" w:pos="5670"/>
        </w:tabs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Приложение № 2</w:t>
      </w:r>
    </w:p>
    <w:p w:rsidR="00EA7B29" w:rsidRPr="00D104E8" w:rsidRDefault="00EA7B29" w:rsidP="00EA7B29">
      <w:pPr>
        <w:tabs>
          <w:tab w:val="left" w:pos="5670"/>
        </w:tabs>
        <w:ind w:firstLine="5670"/>
        <w:jc w:val="both"/>
        <w:rPr>
          <w:bCs/>
          <w:sz w:val="28"/>
          <w:szCs w:val="28"/>
        </w:rPr>
      </w:pPr>
    </w:p>
    <w:p w:rsidR="00D104E8" w:rsidRDefault="00A82FC4" w:rsidP="00EA7B29">
      <w:pPr>
        <w:ind w:firstLine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</w:t>
      </w:r>
      <w:r w:rsidR="00D104E8" w:rsidRPr="00D104E8">
        <w:rPr>
          <w:bCs/>
          <w:sz w:val="28"/>
          <w:szCs w:val="28"/>
        </w:rPr>
        <w:t>Н</w:t>
      </w:r>
    </w:p>
    <w:p w:rsidR="00EA7B29" w:rsidRPr="00D104E8" w:rsidRDefault="00EA7B29" w:rsidP="00EA7B29">
      <w:pPr>
        <w:ind w:firstLine="5670"/>
        <w:jc w:val="both"/>
        <w:rPr>
          <w:bCs/>
          <w:sz w:val="28"/>
          <w:szCs w:val="28"/>
        </w:rPr>
      </w:pPr>
    </w:p>
    <w:p w:rsidR="00EA7B29" w:rsidRDefault="00D104E8" w:rsidP="00EA7B29">
      <w:pPr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распоряжением министерства</w:t>
      </w:r>
      <w:r w:rsidR="00EA7B29">
        <w:rPr>
          <w:bCs/>
          <w:sz w:val="28"/>
          <w:szCs w:val="28"/>
        </w:rPr>
        <w:t xml:space="preserve">, </w:t>
      </w:r>
    </w:p>
    <w:p w:rsidR="00EA7B29" w:rsidRDefault="00EA7B29" w:rsidP="00EA7B29">
      <w:pPr>
        <w:ind w:firstLine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строительства,</w:t>
      </w:r>
      <w:r w:rsidR="00D104E8" w:rsidRPr="00D104E8">
        <w:rPr>
          <w:bCs/>
          <w:sz w:val="28"/>
          <w:szCs w:val="28"/>
        </w:rPr>
        <w:t xml:space="preserve"> энергетики </w:t>
      </w:r>
    </w:p>
    <w:p w:rsidR="00EA7B29" w:rsidRDefault="00D104E8" w:rsidP="00EA7B29">
      <w:pPr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и жилищно-коммунального </w:t>
      </w:r>
    </w:p>
    <w:p w:rsidR="00D104E8" w:rsidRPr="00D104E8" w:rsidRDefault="00D104E8" w:rsidP="00EA7B29">
      <w:pPr>
        <w:ind w:firstLine="5670"/>
        <w:jc w:val="both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>хозяйства Кировской области</w:t>
      </w:r>
    </w:p>
    <w:p w:rsidR="00D104E8" w:rsidRPr="00120543" w:rsidRDefault="00A82FC4" w:rsidP="00EA7B29">
      <w:pPr>
        <w:ind w:firstLine="5670"/>
        <w:jc w:val="both"/>
        <w:rPr>
          <w:bCs/>
          <w:sz w:val="28"/>
          <w:szCs w:val="28"/>
        </w:rPr>
      </w:pPr>
      <w:r w:rsidRPr="00A82FC4">
        <w:rPr>
          <w:bCs/>
          <w:sz w:val="28"/>
          <w:szCs w:val="28"/>
        </w:rPr>
        <w:t xml:space="preserve">от </w:t>
      </w:r>
      <w:r w:rsidR="00120543">
        <w:rPr>
          <w:bCs/>
          <w:sz w:val="28"/>
          <w:szCs w:val="28"/>
        </w:rPr>
        <w:t>08.04.2022</w:t>
      </w:r>
      <w:r w:rsidRPr="00120543">
        <w:rPr>
          <w:bCs/>
          <w:sz w:val="28"/>
          <w:szCs w:val="28"/>
        </w:rPr>
        <w:t xml:space="preserve"> № </w:t>
      </w:r>
      <w:r w:rsidR="00120543">
        <w:rPr>
          <w:bCs/>
          <w:sz w:val="28"/>
          <w:szCs w:val="28"/>
        </w:rPr>
        <w:t>34</w:t>
      </w:r>
    </w:p>
    <w:p w:rsidR="005C7188" w:rsidRPr="00D104E8" w:rsidRDefault="005C7188" w:rsidP="00D104E8">
      <w:pPr>
        <w:jc w:val="center"/>
        <w:rPr>
          <w:bCs/>
          <w:sz w:val="22"/>
          <w:szCs w:val="22"/>
        </w:rPr>
      </w:pPr>
    </w:p>
    <w:p w:rsidR="00A71B98" w:rsidRPr="00D104E8" w:rsidRDefault="00A71B98" w:rsidP="00A71B98">
      <w:pPr>
        <w:jc w:val="center"/>
        <w:rPr>
          <w:b/>
          <w:bCs/>
          <w:sz w:val="28"/>
          <w:szCs w:val="28"/>
        </w:rPr>
      </w:pPr>
      <w:r w:rsidRPr="00D104E8">
        <w:rPr>
          <w:b/>
          <w:bCs/>
          <w:sz w:val="28"/>
          <w:szCs w:val="28"/>
        </w:rPr>
        <w:t>Извещение о проведении запроса котировок</w:t>
      </w:r>
    </w:p>
    <w:p w:rsidR="00A71B98" w:rsidRPr="00D104E8" w:rsidRDefault="004874E2" w:rsidP="00C50793">
      <w:pPr>
        <w:pStyle w:val="ConsNonformat"/>
        <w:jc w:val="center"/>
        <w:rPr>
          <w:b/>
          <w:sz w:val="28"/>
          <w:szCs w:val="28"/>
        </w:rPr>
      </w:pPr>
      <w:r w:rsidRPr="00D104E8">
        <w:rPr>
          <w:b/>
          <w:sz w:val="28"/>
          <w:szCs w:val="28"/>
        </w:rPr>
        <w:t xml:space="preserve">на </w:t>
      </w:r>
      <w:r w:rsidR="00C50793" w:rsidRPr="00D104E8">
        <w:rPr>
          <w:b/>
          <w:sz w:val="28"/>
          <w:szCs w:val="28"/>
        </w:rPr>
        <w:t>проведение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</w:r>
      <w:r w:rsidR="00D104E8">
        <w:rPr>
          <w:b/>
          <w:sz w:val="28"/>
          <w:szCs w:val="28"/>
        </w:rPr>
        <w:t>мов в </w:t>
      </w:r>
      <w:r w:rsidR="00B35D33">
        <w:rPr>
          <w:b/>
          <w:sz w:val="28"/>
          <w:szCs w:val="28"/>
        </w:rPr>
        <w:t>Кировской области» за 20</w:t>
      </w:r>
      <w:r w:rsidR="00E71D79">
        <w:rPr>
          <w:b/>
          <w:sz w:val="28"/>
          <w:szCs w:val="28"/>
        </w:rPr>
        <w:t>2</w:t>
      </w:r>
      <w:r w:rsidR="002E07E3">
        <w:rPr>
          <w:b/>
          <w:sz w:val="28"/>
          <w:szCs w:val="28"/>
        </w:rPr>
        <w:t>1</w:t>
      </w:r>
      <w:r w:rsidR="00C50793" w:rsidRPr="00D104E8">
        <w:rPr>
          <w:b/>
          <w:sz w:val="28"/>
          <w:szCs w:val="28"/>
        </w:rPr>
        <w:t xml:space="preserve"> год</w:t>
      </w:r>
    </w:p>
    <w:p w:rsidR="00A71B98" w:rsidRPr="00472556" w:rsidRDefault="00A71B98" w:rsidP="00A71B98">
      <w:pPr>
        <w:pStyle w:val="3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6"/>
        <w:gridCol w:w="5249"/>
      </w:tblGrid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_Hlk509403650"/>
            <w:r w:rsidRPr="0047255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F33A41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r w:rsidRPr="00F33A41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645" w:type="pct"/>
          </w:tcPr>
          <w:p w:rsidR="00A71B98" w:rsidRPr="0013403B" w:rsidRDefault="00C50793" w:rsidP="005C2994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 xml:space="preserve">Министерство </w:t>
            </w:r>
            <w:r w:rsidR="002E07E3">
              <w:rPr>
                <w:sz w:val="22"/>
                <w:szCs w:val="22"/>
              </w:rPr>
              <w:t>строительства, энергетики и </w:t>
            </w:r>
            <w:r w:rsidRPr="00C50793">
              <w:rPr>
                <w:sz w:val="22"/>
                <w:szCs w:val="22"/>
              </w:rPr>
              <w:t>жилищно-коммунального хозяйства Кировской области</w:t>
            </w:r>
            <w:r w:rsidR="00F33A41">
              <w:rPr>
                <w:sz w:val="22"/>
                <w:szCs w:val="22"/>
              </w:rPr>
              <w:t xml:space="preserve"> (далее – министерство), </w:t>
            </w:r>
            <w:r w:rsidR="00F33A41" w:rsidRPr="00F33A41">
              <w:rPr>
                <w:sz w:val="22"/>
                <w:szCs w:val="22"/>
              </w:rPr>
              <w:t xml:space="preserve">ИНН </w:t>
            </w:r>
            <w:r w:rsidR="002E07E3" w:rsidRPr="002E07E3">
              <w:rPr>
                <w:sz w:val="22"/>
                <w:szCs w:val="22"/>
              </w:rPr>
              <w:t>4345421582</w:t>
            </w:r>
          </w:p>
        </w:tc>
      </w:tr>
      <w:bookmarkEnd w:id="1"/>
      <w:tr w:rsidR="00F33A41" w:rsidRPr="00472556" w:rsidTr="00D104E8">
        <w:trPr>
          <w:trHeight w:val="227"/>
        </w:trPr>
        <w:tc>
          <w:tcPr>
            <w:tcW w:w="286" w:type="pct"/>
          </w:tcPr>
          <w:p w:rsidR="00F33A41" w:rsidRPr="00472556" w:rsidRDefault="00F33A41" w:rsidP="00F33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F33A41" w:rsidRPr="00472556" w:rsidRDefault="00DF3347" w:rsidP="00F3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нахождения, п</w:t>
            </w:r>
            <w:r w:rsidR="00F33A41" w:rsidRPr="00472556">
              <w:rPr>
                <w:sz w:val="22"/>
                <w:szCs w:val="22"/>
              </w:rPr>
              <w:t xml:space="preserve">очтовый адрес, адрес электронной почты, номер контактного телефона, ответственное должностное лицо </w:t>
            </w:r>
            <w:r w:rsidR="00F33A41">
              <w:rPr>
                <w:sz w:val="22"/>
                <w:szCs w:val="22"/>
              </w:rPr>
              <w:t>министерства</w:t>
            </w:r>
          </w:p>
        </w:tc>
        <w:tc>
          <w:tcPr>
            <w:tcW w:w="2645" w:type="pct"/>
          </w:tcPr>
          <w:p w:rsidR="00F33A41" w:rsidRPr="0013403B" w:rsidRDefault="00F33A41" w:rsidP="002E07E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610019, Российская Федерация, Кировская обл., г. Киров, ул. Карла Либкнехта, дом 69</w:t>
            </w:r>
            <w:r w:rsidRPr="0013403B">
              <w:rPr>
                <w:sz w:val="22"/>
                <w:szCs w:val="22"/>
              </w:rPr>
              <w:t xml:space="preserve">, </w:t>
            </w:r>
            <w:proofErr w:type="gramStart"/>
            <w:r w:rsidRPr="0013403B">
              <w:rPr>
                <w:sz w:val="22"/>
                <w:szCs w:val="22"/>
              </w:rPr>
              <w:t>е</w:t>
            </w:r>
            <w:proofErr w:type="gramEnd"/>
            <w:r w:rsidRPr="0013403B">
              <w:rPr>
                <w:sz w:val="22"/>
                <w:szCs w:val="22"/>
              </w:rPr>
              <w:t>-</w:t>
            </w:r>
            <w:proofErr w:type="spellStart"/>
            <w:r w:rsidRPr="0013403B">
              <w:rPr>
                <w:sz w:val="22"/>
                <w:szCs w:val="22"/>
              </w:rPr>
              <w:t>mail</w:t>
            </w:r>
            <w:proofErr w:type="spellEnd"/>
            <w:r w:rsidRPr="0013403B">
              <w:rPr>
                <w:sz w:val="22"/>
                <w:szCs w:val="22"/>
              </w:rPr>
              <w:t xml:space="preserve">: 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tek</w:t>
            </w:r>
            <w:proofErr w:type="spellEnd"/>
            <w:r w:rsidRPr="00C50793">
              <w:rPr>
                <w:sz w:val="22"/>
                <w:szCs w:val="22"/>
              </w:rPr>
              <w:t>@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kirov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r w:rsidRPr="00C50793">
              <w:rPr>
                <w:sz w:val="22"/>
                <w:szCs w:val="22"/>
                <w:lang w:val="en-US"/>
              </w:rPr>
              <w:t>ru</w:t>
            </w:r>
            <w:r w:rsidRPr="0013403B">
              <w:rPr>
                <w:sz w:val="22"/>
                <w:szCs w:val="22"/>
              </w:rPr>
              <w:t xml:space="preserve">, тел. (8332) </w:t>
            </w:r>
            <w:r w:rsidR="00B35D33">
              <w:rPr>
                <w:sz w:val="22"/>
                <w:szCs w:val="22"/>
              </w:rPr>
              <w:t>27-27-36 (до</w:t>
            </w:r>
            <w:r w:rsidR="002E07E3">
              <w:rPr>
                <w:sz w:val="22"/>
                <w:szCs w:val="22"/>
              </w:rPr>
              <w:t>б</w:t>
            </w:r>
            <w:r w:rsidR="00B35D33">
              <w:rPr>
                <w:sz w:val="22"/>
                <w:szCs w:val="22"/>
              </w:rPr>
              <w:t>. 3671)</w:t>
            </w:r>
            <w:r w:rsidRPr="0013403B">
              <w:rPr>
                <w:sz w:val="22"/>
                <w:szCs w:val="22"/>
              </w:rPr>
              <w:t xml:space="preserve">, </w:t>
            </w:r>
            <w:r w:rsidRPr="00F33A41">
              <w:rPr>
                <w:sz w:val="22"/>
                <w:szCs w:val="22"/>
              </w:rPr>
              <w:t xml:space="preserve">ответственное должностное лицо министерства – </w:t>
            </w:r>
            <w:r w:rsidR="00D81D02" w:rsidRPr="00D81D02">
              <w:rPr>
                <w:sz w:val="22"/>
                <w:szCs w:val="22"/>
              </w:rPr>
              <w:t xml:space="preserve">заместитель начальника отдела капитального ремонта жилищного фонда и реализации национальных проектов </w:t>
            </w:r>
            <w:r w:rsidRPr="00F33A41">
              <w:rPr>
                <w:sz w:val="22"/>
                <w:szCs w:val="22"/>
              </w:rPr>
              <w:t xml:space="preserve">министерства </w:t>
            </w:r>
            <w:r w:rsidR="002E07E3">
              <w:rPr>
                <w:sz w:val="22"/>
                <w:szCs w:val="22"/>
              </w:rPr>
              <w:t xml:space="preserve">строительства, </w:t>
            </w:r>
            <w:r w:rsidRPr="00F33A41">
              <w:rPr>
                <w:sz w:val="22"/>
                <w:szCs w:val="22"/>
              </w:rPr>
              <w:t>энергетики и жилищно-коммунального хозяйства Кировской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33A41">
              <w:rPr>
                <w:sz w:val="22"/>
                <w:szCs w:val="22"/>
              </w:rPr>
              <w:t>Филь Светлан</w:t>
            </w:r>
            <w:r>
              <w:rPr>
                <w:sz w:val="22"/>
                <w:szCs w:val="22"/>
              </w:rPr>
              <w:t>а</w:t>
            </w:r>
            <w:r w:rsidRPr="00F33A41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645" w:type="pct"/>
          </w:tcPr>
          <w:p w:rsidR="00A71B98" w:rsidRPr="0013403B" w:rsidRDefault="00C50793" w:rsidP="002E0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50793">
              <w:rPr>
                <w:sz w:val="22"/>
                <w:szCs w:val="22"/>
              </w:rPr>
              <w:t>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      </w:r>
            <w:r w:rsidR="006D56C3">
              <w:rPr>
                <w:sz w:val="22"/>
                <w:szCs w:val="22"/>
              </w:rPr>
              <w:t>мов в Кировской области» за 20</w:t>
            </w:r>
            <w:r w:rsidR="00316480">
              <w:rPr>
                <w:sz w:val="22"/>
                <w:szCs w:val="22"/>
              </w:rPr>
              <w:t>2</w:t>
            </w:r>
            <w:r w:rsidR="002E07E3">
              <w:rPr>
                <w:sz w:val="22"/>
                <w:szCs w:val="22"/>
              </w:rPr>
              <w:t>1</w:t>
            </w:r>
            <w:r w:rsidRPr="00C50793">
              <w:rPr>
                <w:sz w:val="22"/>
                <w:szCs w:val="22"/>
              </w:rPr>
              <w:t xml:space="preserve"> год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4C34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Описание объекта закупки 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Приложение №1 к извещению </w:t>
            </w:r>
            <w:r w:rsidR="00812C67">
              <w:rPr>
                <w:sz w:val="22"/>
                <w:szCs w:val="22"/>
              </w:rPr>
              <w:t xml:space="preserve">о проведении </w:t>
            </w:r>
            <w:r w:rsidRPr="0013403B">
              <w:rPr>
                <w:sz w:val="22"/>
                <w:szCs w:val="22"/>
              </w:rPr>
              <w:t>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45" w:type="pct"/>
          </w:tcPr>
          <w:p w:rsidR="00A71B98" w:rsidRPr="00472556" w:rsidRDefault="00812C67" w:rsidP="00CF3CC7">
            <w:pPr>
              <w:widowControl w:val="0"/>
              <w:spacing w:line="100" w:lineRule="atLeast"/>
              <w:jc w:val="both"/>
              <w:rPr>
                <w:b/>
                <w:i/>
                <w:sz w:val="22"/>
                <w:szCs w:val="22"/>
              </w:rPr>
            </w:pPr>
            <w:r w:rsidRPr="00A82FC4">
              <w:rPr>
                <w:bCs/>
                <w:sz w:val="22"/>
                <w:szCs w:val="22"/>
              </w:rPr>
              <w:t>Кировская область, г. Киров, ул. Карла Либкнехта, дом 68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645" w:type="pct"/>
          </w:tcPr>
          <w:p w:rsidR="00A71B98" w:rsidRPr="00472556" w:rsidRDefault="0054209A" w:rsidP="00E54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632AD9">
              <w:rPr>
                <w:sz w:val="22"/>
                <w:szCs w:val="22"/>
              </w:rPr>
              <w:t>С даты заключения</w:t>
            </w:r>
            <w:proofErr w:type="gramEnd"/>
            <w:r w:rsidRPr="00632AD9">
              <w:rPr>
                <w:sz w:val="22"/>
                <w:szCs w:val="22"/>
              </w:rPr>
              <w:t xml:space="preserve"> договора </w:t>
            </w:r>
            <w:r w:rsidR="00E71D79">
              <w:rPr>
                <w:sz w:val="22"/>
                <w:szCs w:val="22"/>
              </w:rPr>
              <w:t>в течение</w:t>
            </w:r>
            <w:r w:rsidR="004E654D">
              <w:rPr>
                <w:sz w:val="22"/>
                <w:szCs w:val="22"/>
              </w:rPr>
              <w:t xml:space="preserve"> </w:t>
            </w:r>
            <w:r w:rsidR="006B44F0">
              <w:rPr>
                <w:sz w:val="22"/>
                <w:szCs w:val="22"/>
              </w:rPr>
              <w:t>1</w:t>
            </w:r>
            <w:r w:rsidR="00E546ED">
              <w:rPr>
                <w:sz w:val="22"/>
                <w:szCs w:val="22"/>
              </w:rPr>
              <w:t>4</w:t>
            </w:r>
            <w:r w:rsidR="004E654D">
              <w:rPr>
                <w:sz w:val="22"/>
                <w:szCs w:val="22"/>
              </w:rPr>
              <w:t xml:space="preserve"> календарных дней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45" w:type="pct"/>
          </w:tcPr>
          <w:p w:rsidR="00A71B98" w:rsidRPr="003A3872" w:rsidRDefault="00A07E1B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 w:rsidR="0054209A" w:rsidRPr="003A3872">
              <w:rPr>
                <w:sz w:val="22"/>
                <w:szCs w:val="22"/>
              </w:rPr>
              <w:t xml:space="preserve"> областного бюджета Кировской области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Начальная (максимальная) цена </w:t>
            </w:r>
            <w:r w:rsidR="00812C6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02469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403B">
              <w:rPr>
                <w:sz w:val="22"/>
                <w:szCs w:val="22"/>
              </w:rPr>
              <w:t>2</w:t>
            </w:r>
            <w:r w:rsidR="00812C67">
              <w:rPr>
                <w:sz w:val="22"/>
                <w:szCs w:val="22"/>
              </w:rPr>
              <w:t>3</w:t>
            </w:r>
            <w:r w:rsidR="00FE6811">
              <w:rPr>
                <w:sz w:val="22"/>
                <w:szCs w:val="22"/>
              </w:rPr>
              <w:t>0</w:t>
            </w:r>
            <w:r w:rsidRPr="0013403B">
              <w:rPr>
                <w:sz w:val="22"/>
                <w:szCs w:val="22"/>
              </w:rPr>
              <w:t xml:space="preserve"> 000,00 </w:t>
            </w:r>
            <w:r w:rsidR="0069538A" w:rsidRPr="0013403B">
              <w:rPr>
                <w:sz w:val="22"/>
                <w:szCs w:val="22"/>
              </w:rPr>
              <w:t>руб.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и порядок оплаты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tabs>
                <w:tab w:val="num" w:pos="709"/>
              </w:tabs>
              <w:suppressAutoHyphens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соответствии с проектом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Используемый способ определения поставщика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Запрос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1</w:t>
            </w:r>
            <w:r w:rsidR="00F33A41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подачи заявок</w:t>
            </w:r>
          </w:p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pct"/>
          </w:tcPr>
          <w:p w:rsidR="00D104E8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В документальном виде по адресу:</w:t>
            </w:r>
            <w:r w:rsidR="00C55C83" w:rsidRPr="00574B75">
              <w:t xml:space="preserve"> </w:t>
            </w:r>
            <w:r w:rsidR="00C55C83" w:rsidRPr="00574B75">
              <w:rPr>
                <w:sz w:val="22"/>
                <w:szCs w:val="22"/>
              </w:rPr>
              <w:t>610000, г. Киров,</w:t>
            </w:r>
            <w:r w:rsidR="00026198">
              <w:rPr>
                <w:sz w:val="22"/>
                <w:szCs w:val="22"/>
              </w:rPr>
              <w:t xml:space="preserve"> ул. Дерендяева, д. 23, </w:t>
            </w:r>
            <w:proofErr w:type="spellStart"/>
            <w:r w:rsidR="00026198">
              <w:rPr>
                <w:sz w:val="22"/>
                <w:szCs w:val="22"/>
              </w:rPr>
              <w:t>каб</w:t>
            </w:r>
            <w:proofErr w:type="spellEnd"/>
            <w:r w:rsidR="00026198">
              <w:rPr>
                <w:sz w:val="22"/>
                <w:szCs w:val="22"/>
              </w:rPr>
              <w:t>. 501</w:t>
            </w:r>
            <w:r w:rsidR="00D104E8">
              <w:rPr>
                <w:sz w:val="22"/>
                <w:szCs w:val="22"/>
              </w:rPr>
              <w:t>.</w:t>
            </w:r>
          </w:p>
          <w:p w:rsidR="00A71B98" w:rsidRPr="00574B75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Рабочие дни: понедельник – пятница</w:t>
            </w:r>
          </w:p>
          <w:p w:rsidR="00C55C83" w:rsidRDefault="00A71B9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Рабочее время: </w:t>
            </w:r>
            <w:r w:rsidR="00E71D79">
              <w:rPr>
                <w:sz w:val="22"/>
                <w:szCs w:val="22"/>
              </w:rPr>
              <w:t>с 09 ч. 00 мин. до 18</w:t>
            </w:r>
            <w:r w:rsidR="00C55C83">
              <w:rPr>
                <w:sz w:val="22"/>
                <w:szCs w:val="22"/>
              </w:rPr>
              <w:t xml:space="preserve"> ч. 00 мин.</w:t>
            </w:r>
          </w:p>
          <w:p w:rsidR="00596F62" w:rsidRPr="0013403B" w:rsidRDefault="00E71D79" w:rsidP="0059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(пт. – до 17</w:t>
            </w:r>
            <w:r w:rsidR="00C55C83">
              <w:rPr>
                <w:sz w:val="22"/>
                <w:szCs w:val="22"/>
              </w:rPr>
              <w:t xml:space="preserve"> ч. 00 мин.), </w:t>
            </w:r>
            <w:r w:rsidR="00C55C83">
              <w:t xml:space="preserve"> </w:t>
            </w:r>
            <w:r w:rsidR="00C55C83">
              <w:rPr>
                <w:sz w:val="22"/>
                <w:szCs w:val="22"/>
              </w:rPr>
              <w:t xml:space="preserve">обеденный перерыв с 12 ч. </w:t>
            </w:r>
            <w:r w:rsidR="00C55C83" w:rsidRPr="00C55C8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мин. </w:t>
            </w:r>
            <w:r w:rsidR="00C55C83">
              <w:rPr>
                <w:sz w:val="22"/>
                <w:szCs w:val="22"/>
              </w:rPr>
              <w:t xml:space="preserve">до 13 ч. </w:t>
            </w:r>
            <w:r w:rsidR="00C55C83" w:rsidRPr="00C55C83">
              <w:rPr>
                <w:sz w:val="22"/>
                <w:szCs w:val="22"/>
              </w:rPr>
              <w:t>18</w:t>
            </w:r>
            <w:r w:rsidR="00C55C83">
              <w:rPr>
                <w:sz w:val="22"/>
                <w:szCs w:val="22"/>
              </w:rPr>
              <w:t xml:space="preserve"> мин.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начала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CE6D4F" w:rsidP="00D3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06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C7407E">
              <w:rPr>
                <w:sz w:val="22"/>
                <w:szCs w:val="22"/>
              </w:rPr>
              <w:t xml:space="preserve"> </w:t>
            </w:r>
            <w:r w:rsidR="006D56C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A71B98" w:rsidRPr="0013403B">
              <w:rPr>
                <w:sz w:val="22"/>
                <w:szCs w:val="22"/>
              </w:rPr>
              <w:t xml:space="preserve"> года </w:t>
            </w:r>
            <w:r w:rsidR="00D35F58">
              <w:rPr>
                <w:sz w:val="22"/>
                <w:szCs w:val="22"/>
              </w:rPr>
              <w:t>9</w:t>
            </w:r>
            <w:r w:rsidR="00A71B98" w:rsidRPr="0013403B">
              <w:rPr>
                <w:sz w:val="22"/>
                <w:szCs w:val="22"/>
              </w:rPr>
              <w:t xml:space="preserve"> ч. 00 мин по местному времени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окончания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A71B98" w:rsidP="006B44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Прием заявок на участие в запросе котировок прекращается </w:t>
            </w:r>
            <w:proofErr w:type="gramStart"/>
            <w:r w:rsidRPr="0013403B">
              <w:rPr>
                <w:sz w:val="22"/>
                <w:szCs w:val="22"/>
              </w:rPr>
              <w:t xml:space="preserve">с </w:t>
            </w:r>
            <w:r w:rsidR="006B44F0">
              <w:rPr>
                <w:sz w:val="22"/>
                <w:szCs w:val="22"/>
              </w:rPr>
              <w:t>даты</w:t>
            </w:r>
            <w:r w:rsidRPr="0013403B">
              <w:rPr>
                <w:sz w:val="22"/>
                <w:szCs w:val="22"/>
              </w:rPr>
              <w:t xml:space="preserve"> вскрытия</w:t>
            </w:r>
            <w:proofErr w:type="gramEnd"/>
            <w:r w:rsidRPr="0013403B">
              <w:rPr>
                <w:sz w:val="22"/>
                <w:szCs w:val="22"/>
              </w:rPr>
              <w:t xml:space="preserve"> конвертов с заявками на участие в запросе котировок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Место, дата и время вскрытия конвертов </w:t>
            </w:r>
            <w:r w:rsidRPr="00574B75">
              <w:rPr>
                <w:sz w:val="22"/>
                <w:szCs w:val="22"/>
              </w:rPr>
              <w:lastRenderedPageBreak/>
              <w:t>с заявками на</w:t>
            </w:r>
            <w:r w:rsidRPr="00472556">
              <w:rPr>
                <w:sz w:val="22"/>
                <w:szCs w:val="22"/>
              </w:rPr>
              <w:t xml:space="preserve"> участие в запросе котировок 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2645" w:type="pct"/>
          </w:tcPr>
          <w:p w:rsidR="00574B75" w:rsidRDefault="0022106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574B75" w:rsidRPr="00574B75">
              <w:rPr>
                <w:sz w:val="22"/>
                <w:szCs w:val="22"/>
              </w:rPr>
              <w:t xml:space="preserve">г. Киров, ул. </w:t>
            </w:r>
            <w:r w:rsidR="005069AA" w:rsidRPr="005069AA">
              <w:rPr>
                <w:sz w:val="22"/>
                <w:szCs w:val="22"/>
              </w:rPr>
              <w:t>Карла Либкнехта, дом 69</w:t>
            </w:r>
            <w:r w:rsidR="00574B75" w:rsidRPr="00574B75">
              <w:rPr>
                <w:sz w:val="22"/>
                <w:szCs w:val="22"/>
              </w:rPr>
              <w:t xml:space="preserve">, </w:t>
            </w:r>
            <w:proofErr w:type="spellStart"/>
            <w:r w:rsidR="00574B75" w:rsidRPr="00574B75">
              <w:rPr>
                <w:sz w:val="22"/>
                <w:szCs w:val="22"/>
              </w:rPr>
              <w:t>каб</w:t>
            </w:r>
            <w:proofErr w:type="spellEnd"/>
            <w:r w:rsidR="005069AA">
              <w:rPr>
                <w:sz w:val="22"/>
                <w:szCs w:val="22"/>
              </w:rPr>
              <w:t>.</w:t>
            </w:r>
            <w:r w:rsidR="00574B75" w:rsidRPr="00574B75">
              <w:rPr>
                <w:sz w:val="22"/>
                <w:szCs w:val="22"/>
              </w:rPr>
              <w:t xml:space="preserve"> </w:t>
            </w:r>
            <w:r w:rsidR="005069AA">
              <w:rPr>
                <w:sz w:val="22"/>
                <w:szCs w:val="22"/>
              </w:rPr>
              <w:t>301</w:t>
            </w:r>
            <w:r w:rsidR="00A71B98" w:rsidRPr="0013403B">
              <w:rPr>
                <w:sz w:val="22"/>
                <w:szCs w:val="22"/>
              </w:rPr>
              <w:t xml:space="preserve">, </w:t>
            </w:r>
          </w:p>
          <w:p w:rsidR="00A71B98" w:rsidRPr="0013403B" w:rsidRDefault="003B774D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A71B98" w:rsidRPr="0013403B">
              <w:rPr>
                <w:sz w:val="22"/>
                <w:szCs w:val="22"/>
              </w:rPr>
              <w:t xml:space="preserve"> </w:t>
            </w:r>
            <w:r w:rsidR="0022106B">
              <w:rPr>
                <w:sz w:val="22"/>
                <w:szCs w:val="22"/>
              </w:rPr>
              <w:t>апреля</w:t>
            </w:r>
            <w:r w:rsidR="00A71B98" w:rsidRPr="0013403B">
              <w:rPr>
                <w:sz w:val="22"/>
                <w:szCs w:val="22"/>
              </w:rPr>
              <w:t xml:space="preserve"> 20</w:t>
            </w:r>
            <w:r w:rsidR="00AE3015">
              <w:rPr>
                <w:sz w:val="22"/>
                <w:szCs w:val="22"/>
              </w:rPr>
              <w:t>2</w:t>
            </w:r>
            <w:r w:rsidR="00482391">
              <w:rPr>
                <w:sz w:val="22"/>
                <w:szCs w:val="22"/>
              </w:rPr>
              <w:t>2</w:t>
            </w:r>
            <w:r w:rsidR="00A71B98" w:rsidRPr="0013403B">
              <w:rPr>
                <w:sz w:val="22"/>
                <w:szCs w:val="22"/>
              </w:rPr>
              <w:t xml:space="preserve"> года </w:t>
            </w:r>
            <w:r w:rsidR="00F37C05" w:rsidRPr="0013403B">
              <w:rPr>
                <w:sz w:val="22"/>
                <w:szCs w:val="22"/>
              </w:rPr>
              <w:t>11</w:t>
            </w:r>
            <w:r w:rsidR="00A71B98" w:rsidRPr="0013403B">
              <w:rPr>
                <w:sz w:val="22"/>
                <w:szCs w:val="22"/>
              </w:rPr>
              <w:t xml:space="preserve"> ч.</w:t>
            </w:r>
            <w:r w:rsidR="005069AA">
              <w:rPr>
                <w:sz w:val="22"/>
                <w:szCs w:val="22"/>
              </w:rPr>
              <w:t xml:space="preserve"> </w:t>
            </w:r>
            <w:r w:rsidR="00C7407E">
              <w:rPr>
                <w:sz w:val="22"/>
                <w:szCs w:val="22"/>
              </w:rPr>
              <w:t>0</w:t>
            </w:r>
            <w:r w:rsidR="00F37C05" w:rsidRPr="0013403B">
              <w:rPr>
                <w:sz w:val="22"/>
                <w:szCs w:val="22"/>
              </w:rPr>
              <w:t xml:space="preserve">0 </w:t>
            </w:r>
            <w:r w:rsidR="0013403B">
              <w:rPr>
                <w:sz w:val="22"/>
                <w:szCs w:val="22"/>
              </w:rPr>
              <w:t>мин. по местному времени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Порядок подачи заявок участников закупки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  <w:r w:rsidR="0022106B">
              <w:rPr>
                <w:sz w:val="22"/>
                <w:szCs w:val="22"/>
              </w:rPr>
              <w:t>В</w:t>
            </w:r>
            <w:r w:rsidRPr="0013403B">
              <w:rPr>
                <w:sz w:val="22"/>
                <w:szCs w:val="22"/>
              </w:rPr>
              <w:t xml:space="preserve">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2. Заявка на участие в запросе котировок подается заказчику в письменной форме в запечатанном конверте, </w:t>
            </w:r>
            <w:r w:rsidRPr="0013403B">
              <w:rPr>
                <w:bCs/>
                <w:sz w:val="22"/>
                <w:szCs w:val="22"/>
              </w:rPr>
              <w:t xml:space="preserve">с отметкой на конверте </w:t>
            </w:r>
            <w:r w:rsidR="0022106B">
              <w:rPr>
                <w:bCs/>
                <w:sz w:val="22"/>
                <w:szCs w:val="22"/>
              </w:rPr>
              <w:t>наименования объекта закупки</w:t>
            </w:r>
            <w:r w:rsidR="008035C2" w:rsidRPr="0013403B">
              <w:rPr>
                <w:bCs/>
                <w:sz w:val="22"/>
                <w:szCs w:val="22"/>
              </w:rPr>
              <w:t xml:space="preserve"> о проведении </w:t>
            </w:r>
            <w:r w:rsidRPr="0013403B">
              <w:rPr>
                <w:bCs/>
                <w:sz w:val="22"/>
                <w:szCs w:val="22"/>
              </w:rPr>
              <w:t>запроса котировок, на который подается заявка</w:t>
            </w:r>
            <w:r w:rsidRPr="0013403B">
              <w:rPr>
                <w:sz w:val="22"/>
                <w:szCs w:val="22"/>
              </w:rPr>
              <w:t>, не позволяющем просматривать содержание такой заявки до вскрытия конверта.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3. Заявка на участие в запросе котировок, поданная в срок, указанный в извещении о проведении запроса котировок, регистрируется </w:t>
            </w:r>
            <w:r w:rsidR="009761A9">
              <w:rPr>
                <w:sz w:val="22"/>
                <w:szCs w:val="22"/>
              </w:rPr>
              <w:t>министерством</w:t>
            </w:r>
            <w:r w:rsidRPr="0013403B">
              <w:rPr>
                <w:sz w:val="22"/>
                <w:szCs w:val="22"/>
              </w:rPr>
              <w:t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котировок, подавшего заявку на участие в запросе котировок, выдает</w:t>
            </w:r>
            <w:r w:rsidRPr="0013403B">
              <w:rPr>
                <w:sz w:val="22"/>
                <w:szCs w:val="22"/>
                <w:lang w:val="en-US"/>
              </w:rPr>
              <w:t>c</w:t>
            </w:r>
            <w:r w:rsidRPr="0013403B">
              <w:rPr>
                <w:sz w:val="22"/>
                <w:szCs w:val="22"/>
              </w:rPr>
              <w:t>я расписка в получении заявки на участие в запросе котировок с указанием даты и времени ее получения.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4. Заказчик обеспечивает сохранность конвертов с заявками, защищенность, неприкосновенность и конфиденциальность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в соответствии с </w:t>
            </w:r>
            <w:r w:rsidR="009761A9">
              <w:rPr>
                <w:sz w:val="22"/>
                <w:szCs w:val="22"/>
              </w:rPr>
              <w:t xml:space="preserve">требованиями Порядка, утвержденного распоряжением министерства </w:t>
            </w:r>
            <w:r w:rsidR="009761A9" w:rsidRPr="00570A35">
              <w:rPr>
                <w:sz w:val="22"/>
                <w:szCs w:val="22"/>
              </w:rPr>
              <w:t xml:space="preserve">от </w:t>
            </w:r>
            <w:r w:rsidR="005069AA" w:rsidRPr="00D67CC0">
              <w:rPr>
                <w:sz w:val="22"/>
                <w:szCs w:val="22"/>
              </w:rPr>
              <w:t>06.04.2021</w:t>
            </w:r>
            <w:r w:rsidR="009761A9" w:rsidRPr="00D67CC0">
              <w:rPr>
                <w:sz w:val="22"/>
                <w:szCs w:val="22"/>
              </w:rPr>
              <w:t xml:space="preserve"> № </w:t>
            </w:r>
            <w:r w:rsidR="005069AA" w:rsidRPr="00D67CC0">
              <w:rPr>
                <w:sz w:val="22"/>
                <w:szCs w:val="22"/>
              </w:rPr>
              <w:t>32</w:t>
            </w:r>
            <w:r w:rsidRPr="00D67CC0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Лица, осуществляющие хранение конвертов с такими заявками, не вправе допускать повреждение этих конвертов до момента их вскрытия</w:t>
            </w:r>
            <w:r w:rsidR="009761A9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5.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6. В случае, если по окончании срока подачи заявок на участие в запросе котировок подана только одна такая заявка или не подано ни одной такой заявки, запрос котировок признается несостоявшимся.</w:t>
            </w:r>
          </w:p>
          <w:p w:rsidR="00A71B98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Заявка на участие в запросе котировок должна содержать:</w:t>
            </w:r>
          </w:p>
          <w:p w:rsidR="00BB3F5B" w:rsidRPr="00A260F6" w:rsidRDefault="00BB3F5B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1) Заявку на участие в запросе котировок:</w:t>
            </w: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0F6">
              <w:rPr>
                <w:b/>
                <w:bCs/>
                <w:sz w:val="22"/>
                <w:szCs w:val="22"/>
              </w:rPr>
              <w:t xml:space="preserve">- наименование, </w:t>
            </w:r>
            <w:r w:rsidR="003A3872" w:rsidRPr="003A3872">
              <w:rPr>
                <w:b/>
                <w:bCs/>
                <w:sz w:val="22"/>
                <w:szCs w:val="22"/>
              </w:rPr>
              <w:t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</w:t>
            </w:r>
            <w:r w:rsidR="003A3872">
              <w:rPr>
                <w:b/>
                <w:bCs/>
                <w:sz w:val="22"/>
                <w:szCs w:val="22"/>
              </w:rPr>
              <w:t>;</w:t>
            </w:r>
          </w:p>
          <w:p w:rsidR="003A3872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участника запроса котировок исполнить условия 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догов</w:t>
            </w:r>
            <w:r w:rsidR="00803D7E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указанные в извещении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запроса котировок;</w:t>
            </w:r>
          </w:p>
          <w:p w:rsidR="00A71B98" w:rsidRPr="00A260F6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 договора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A71B98" w:rsidRPr="0013403B" w:rsidRDefault="00A71B98" w:rsidP="00757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-</w:t>
            </w:r>
            <w:r w:rsidR="00803D7E" w:rsidRPr="00A260F6">
              <w:rPr>
                <w:b/>
                <w:sz w:val="22"/>
                <w:szCs w:val="22"/>
              </w:rPr>
              <w:t xml:space="preserve"> </w:t>
            </w:r>
            <w:r w:rsidRPr="00A260F6">
              <w:rPr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</w:r>
            <w:r w:rsidR="007576A3" w:rsidRPr="00A260F6">
              <w:rPr>
                <w:b/>
                <w:sz w:val="22"/>
                <w:szCs w:val="22"/>
              </w:rPr>
              <w:t>ана участника запроса котировок.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Форма заявки на участие в запросе котировок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№2 к извещению 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Срок, в течение которого победитель запроса котировок или иной участник запроса котировок, с которым заключается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при уклонении победителя запроса котировок от заключения </w:t>
            </w:r>
            <w:r w:rsidR="004C3966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, должен подписать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3A3872" w:rsidP="00506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A3872">
              <w:rPr>
                <w:sz w:val="22"/>
                <w:szCs w:val="22"/>
              </w:rPr>
              <w:t xml:space="preserve"> течение двух рабочих дней </w:t>
            </w:r>
            <w:proofErr w:type="gramStart"/>
            <w:r w:rsidR="00A71B98" w:rsidRPr="003A3872">
              <w:rPr>
                <w:sz w:val="22"/>
                <w:szCs w:val="22"/>
              </w:rPr>
              <w:t xml:space="preserve">с даты </w:t>
            </w:r>
            <w:r w:rsidRPr="003A3872">
              <w:rPr>
                <w:sz w:val="22"/>
                <w:szCs w:val="22"/>
              </w:rPr>
              <w:t>размещения</w:t>
            </w:r>
            <w:proofErr w:type="gramEnd"/>
            <w:r w:rsidRPr="003A3872">
              <w:rPr>
                <w:sz w:val="22"/>
                <w:szCs w:val="22"/>
              </w:rPr>
              <w:t xml:space="preserve"> на официальном сайте министерства протокола рассмотрения и оценки заявок на участие в запросе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Условия признания победителя запроса котировок или иного участника запроса котировок уклонившимися от заключения </w:t>
            </w:r>
            <w:r w:rsidR="004C3966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A71B98" w:rsidP="00151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случае, если победитель запроса котировок не представил заказчику подписанный </w:t>
            </w:r>
            <w:r w:rsidR="00803D7E" w:rsidRPr="0013403B">
              <w:rPr>
                <w:sz w:val="22"/>
                <w:szCs w:val="22"/>
              </w:rPr>
              <w:t>договор</w:t>
            </w:r>
            <w:r w:rsidRPr="0013403B">
              <w:rPr>
                <w:sz w:val="22"/>
                <w:szCs w:val="22"/>
              </w:rPr>
              <w:t xml:space="preserve">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Требования, предъявляемые к участникам запроса котировок, в соответствии со </w:t>
            </w:r>
            <w:hyperlink r:id="rId7" w:history="1">
              <w:r w:rsidRPr="00472556">
                <w:rPr>
                  <w:sz w:val="22"/>
                  <w:szCs w:val="22"/>
                </w:rPr>
                <w:t>статьей 31</w:t>
              </w:r>
            </w:hyperlink>
            <w:r w:rsidRPr="00472556">
              <w:rPr>
                <w:sz w:val="22"/>
                <w:szCs w:val="22"/>
              </w:rPr>
              <w:t xml:space="preserve"> Закона 44-ФЗ</w:t>
            </w:r>
          </w:p>
        </w:tc>
        <w:tc>
          <w:tcPr>
            <w:tcW w:w="2645" w:type="pct"/>
          </w:tcPr>
          <w:p w:rsidR="001347D4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1) </w:t>
            </w:r>
            <w:r w:rsidR="001347D4">
              <w:rPr>
                <w:sz w:val="22"/>
                <w:szCs w:val="22"/>
              </w:rPr>
              <w:t>с</w:t>
            </w:r>
            <w:r w:rsidR="001347D4" w:rsidRPr="001347D4">
              <w:rPr>
                <w:sz w:val="22"/>
                <w:szCs w:val="22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="001347D4" w:rsidRPr="001347D4">
              <w:rPr>
                <w:sz w:val="22"/>
                <w:szCs w:val="22"/>
              </w:rPr>
              <w:t>являющихся</w:t>
            </w:r>
            <w:proofErr w:type="gramEnd"/>
            <w:r w:rsidR="001347D4" w:rsidRPr="001347D4">
              <w:rPr>
                <w:sz w:val="22"/>
                <w:szCs w:val="22"/>
              </w:rPr>
              <w:t xml:space="preserve"> объектом закупки.</w:t>
            </w:r>
          </w:p>
          <w:p w:rsidR="00EA6E64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епроведение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ликвидации участника запроса котировок – юридического лица и отсутствие решения арбитражного суда о признании участника запроса котировок –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A71B98" w:rsidRPr="0013403B">
              <w:rPr>
                <w:sz w:val="22"/>
                <w:szCs w:val="22"/>
              </w:rPr>
              <w:t>;</w:t>
            </w:r>
            <w:r w:rsidR="00EA6E64" w:rsidRPr="0013403B">
              <w:t xml:space="preserve"> 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еприостановление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деятельности участника запроса котировок в порядке, установленном Кодексом Российской Федерации об административных правонарушениях, на дату подачи заявки на участие в запросе котировок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у участника запроса котировок по налогам, сборам, задолженности по иным обязательным платежам в бюджеты бюджетной </w:t>
            </w:r>
            <w:r w:rsidR="003A3872" w:rsidRPr="003A3872">
              <w:rPr>
                <w:sz w:val="22"/>
                <w:szCs w:val="22"/>
              </w:rPr>
              <w:lastRenderedPageBreak/>
              <w:t>системы Российской Федерации за прошедший календарный год. Участник запроса котировок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запросе котировок не принято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запроса котировок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осуществляемого запроса котировок, и административного наказания в виде дисквалификации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у</w:t>
            </w:r>
            <w:r w:rsidR="003A3872" w:rsidRPr="003A3872">
              <w:rPr>
                <w:sz w:val="22"/>
                <w:szCs w:val="22"/>
              </w:rPr>
              <w:t>частник запроса котировок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A71B98" w:rsidRPr="0013403B">
              <w:rPr>
                <w:sz w:val="22"/>
                <w:szCs w:val="22"/>
              </w:rPr>
              <w:t>.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 w:rsidR="00A71B98" w:rsidRPr="00FF6E45">
              <w:rPr>
                <w:bCs/>
                <w:sz w:val="22"/>
                <w:szCs w:val="22"/>
              </w:rPr>
              <w:t>статьями 289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290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291.1</w:t>
            </w:r>
            <w:r w:rsidR="00A71B98" w:rsidRPr="0013403B">
              <w:rPr>
                <w:bCs/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A71B98" w:rsidRPr="0013403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71B98" w:rsidRPr="0013403B">
              <w:rPr>
                <w:bCs/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r w:rsidR="00A71B98" w:rsidRPr="00FF6E45">
              <w:rPr>
                <w:sz w:val="22"/>
                <w:szCs w:val="22"/>
              </w:rPr>
              <w:t>статьей 19.28</w:t>
            </w:r>
            <w:r w:rsidR="00A71B98" w:rsidRPr="0013403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 xml:space="preserve">тсутствие конфликта интересов между участником запроса котировок и министерством, Фондом, при этом под конфликтом интересов понимаются случаи, при которых руководитель </w:t>
            </w:r>
            <w:r w:rsidR="003A3872" w:rsidRPr="003A3872">
              <w:rPr>
                <w:sz w:val="22"/>
                <w:szCs w:val="22"/>
              </w:rPr>
              <w:lastRenderedPageBreak/>
              <w:t>министерства, Фонда, член комиссии, уполномоченное должностное лицо министерства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</w:t>
            </w:r>
            <w:proofErr w:type="gramStart"/>
            <w:r w:rsidR="003A3872" w:rsidRPr="003A3872">
              <w:rPr>
                <w:sz w:val="22"/>
                <w:szCs w:val="22"/>
              </w:rPr>
              <w:t>или унитарного предприятия либо иными органами управления юридических лиц - участников запроса котировок, с физическими лицами, в том числе зарегистрированными в качестве индивидуального предпринимателя, - участниками запроса котировок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 w:rsidR="0013403B">
              <w:rPr>
                <w:sz w:val="22"/>
                <w:szCs w:val="22"/>
              </w:rPr>
              <w:t>;</w:t>
            </w:r>
          </w:p>
          <w:p w:rsidR="00A71B98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2" w:name="_Hlk509472740"/>
            <w:r>
              <w:rPr>
                <w:sz w:val="22"/>
                <w:szCs w:val="22"/>
              </w:rPr>
              <w:t>10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>участник закупки не является офшорной компанией</w:t>
            </w:r>
            <w:bookmarkEnd w:id="2"/>
            <w:r w:rsidR="0013403B">
              <w:rPr>
                <w:bCs/>
                <w:sz w:val="22"/>
                <w:szCs w:val="22"/>
              </w:rPr>
              <w:t>.</w:t>
            </w:r>
          </w:p>
          <w:p w:rsidR="00347B1E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347B1E">
              <w:rPr>
                <w:bCs/>
                <w:sz w:val="22"/>
                <w:szCs w:val="22"/>
              </w:rPr>
              <w:t>) отсутствие в реестре недобросовестных поставщиков (подрядчиков, исполнителей), предусмотренном Федеральным законом от 05.04.2013 № 44-ФЗ «</w:t>
            </w:r>
            <w:r w:rsidR="00347B1E" w:rsidRPr="00347B1E">
              <w:rPr>
                <w:bCs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69" w:type="pct"/>
          </w:tcPr>
          <w:p w:rsidR="00DF3347" w:rsidRPr="00472556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Информацию о должностном лице министерства, ответственн</w:t>
            </w:r>
            <w:r>
              <w:rPr>
                <w:sz w:val="22"/>
                <w:szCs w:val="22"/>
              </w:rPr>
              <w:t>ом</w:t>
            </w:r>
            <w:r w:rsidRPr="00DF3347">
              <w:rPr>
                <w:sz w:val="22"/>
                <w:szCs w:val="22"/>
              </w:rPr>
              <w:t xml:space="preserve"> за заключение </w:t>
            </w:r>
            <w:r w:rsidR="00596F62">
              <w:rPr>
                <w:sz w:val="22"/>
                <w:szCs w:val="22"/>
              </w:rPr>
              <w:t xml:space="preserve">Фондом </w:t>
            </w:r>
            <w:r w:rsidRPr="00DF334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DF3347" w:rsidRPr="0013403B" w:rsidRDefault="00316480" w:rsidP="00316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Филь Светлана Александровна</w:t>
            </w:r>
            <w:r>
              <w:rPr>
                <w:sz w:val="22"/>
                <w:szCs w:val="22"/>
              </w:rPr>
              <w:t>, з</w:t>
            </w:r>
            <w:r w:rsidR="00AE3015">
              <w:rPr>
                <w:sz w:val="22"/>
                <w:szCs w:val="22"/>
              </w:rPr>
              <w:t xml:space="preserve">аместитель начальника отдела </w:t>
            </w:r>
            <w:r w:rsidR="00AE3015" w:rsidRPr="00AE3015">
              <w:rPr>
                <w:sz w:val="22"/>
                <w:szCs w:val="22"/>
              </w:rPr>
              <w:t xml:space="preserve">капитального ремонта жилищного фонда </w:t>
            </w:r>
            <w:r>
              <w:rPr>
                <w:sz w:val="22"/>
                <w:szCs w:val="22"/>
              </w:rPr>
              <w:t xml:space="preserve">и реализации национальных проектов </w:t>
            </w:r>
            <w:r w:rsidR="00AE3015" w:rsidRPr="00AE3015">
              <w:rPr>
                <w:sz w:val="22"/>
                <w:szCs w:val="22"/>
              </w:rPr>
              <w:t xml:space="preserve">министерства </w:t>
            </w:r>
            <w:r w:rsidR="005069AA">
              <w:rPr>
                <w:sz w:val="22"/>
                <w:szCs w:val="22"/>
              </w:rPr>
              <w:t xml:space="preserve">строительства </w:t>
            </w:r>
            <w:r w:rsidR="00AE3015" w:rsidRPr="00AE3015">
              <w:rPr>
                <w:sz w:val="22"/>
                <w:szCs w:val="22"/>
              </w:rPr>
              <w:t>энергетики и жилищно-коммунального хозяйства Кировской области</w:t>
            </w:r>
            <w:r w:rsidR="00DF3347" w:rsidRPr="00DF3347">
              <w:rPr>
                <w:sz w:val="22"/>
                <w:szCs w:val="22"/>
              </w:rPr>
              <w:t xml:space="preserve"> 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9" w:type="pct"/>
          </w:tcPr>
          <w:p w:rsidR="00DF3347" w:rsidRPr="00DF3347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 xml:space="preserve">Информацию о должностном лице </w:t>
            </w:r>
            <w:r>
              <w:rPr>
                <w:sz w:val="22"/>
                <w:szCs w:val="22"/>
              </w:rPr>
              <w:t>Фонда</w:t>
            </w:r>
            <w:r w:rsidRPr="00DF3347">
              <w:rPr>
                <w:sz w:val="22"/>
                <w:szCs w:val="22"/>
              </w:rPr>
              <w:t>, ответственном за заключение договора</w:t>
            </w:r>
          </w:p>
        </w:tc>
        <w:tc>
          <w:tcPr>
            <w:tcW w:w="2645" w:type="pct"/>
          </w:tcPr>
          <w:p w:rsidR="00DF3347" w:rsidRPr="0013403B" w:rsidRDefault="005069AA" w:rsidP="005069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Залесова Людмила Александровна</w:t>
            </w:r>
            <w:r w:rsidR="003164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временно исполняющая обязанности </w:t>
            </w:r>
            <w:r w:rsidR="00E47B40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="00E47B40">
              <w:rPr>
                <w:sz w:val="22"/>
                <w:szCs w:val="22"/>
              </w:rPr>
              <w:t xml:space="preserve"> группы закупок</w:t>
            </w:r>
            <w:r w:rsidR="00DF3347">
              <w:rPr>
                <w:sz w:val="22"/>
                <w:szCs w:val="22"/>
              </w:rPr>
              <w:t xml:space="preserve"> </w:t>
            </w:r>
            <w:r w:rsidR="00AD35AB" w:rsidRPr="00AD35AB">
              <w:rPr>
                <w:sz w:val="22"/>
                <w:szCs w:val="22"/>
              </w:rPr>
              <w:t xml:space="preserve">некоммерческой организации «Фонд капитального ремонта общего </w:t>
            </w:r>
            <w:r w:rsidR="00AD35AB">
              <w:rPr>
                <w:sz w:val="22"/>
                <w:szCs w:val="22"/>
              </w:rPr>
              <w:t xml:space="preserve">имущества многоквартирных домов </w:t>
            </w:r>
            <w:r w:rsidR="00AD35AB" w:rsidRPr="00AD35AB">
              <w:rPr>
                <w:sz w:val="22"/>
                <w:szCs w:val="22"/>
              </w:rPr>
              <w:t>в Кировской области»</w:t>
            </w:r>
            <w:r w:rsidR="00DF3347">
              <w:rPr>
                <w:sz w:val="22"/>
                <w:szCs w:val="22"/>
              </w:rPr>
              <w:t xml:space="preserve">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DF3347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25659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Не предусмотрено</w:t>
            </w:r>
          </w:p>
        </w:tc>
      </w:tr>
      <w:tr w:rsidR="00A71B98" w:rsidRPr="007A1C2B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Критерии выбора победителя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Наименьшая цена</w:t>
            </w:r>
          </w:p>
        </w:tc>
      </w:tr>
    </w:tbl>
    <w:p w:rsidR="006F1CE8" w:rsidRDefault="00120543">
      <w:pPr>
        <w:rPr>
          <w:sz w:val="22"/>
          <w:szCs w:val="22"/>
        </w:rPr>
      </w:pPr>
    </w:p>
    <w:p w:rsidR="00166FA1" w:rsidRPr="007A1C2B" w:rsidRDefault="00166FA1">
      <w:pPr>
        <w:rPr>
          <w:sz w:val="22"/>
          <w:szCs w:val="22"/>
        </w:rPr>
      </w:pPr>
    </w:p>
    <w:sectPr w:rsidR="00166FA1" w:rsidRPr="007A1C2B" w:rsidSect="00596F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AF2"/>
    <w:multiLevelType w:val="multilevel"/>
    <w:tmpl w:val="CCDED4C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0717D"/>
    <w:rsid w:val="000146AA"/>
    <w:rsid w:val="00024694"/>
    <w:rsid w:val="00026198"/>
    <w:rsid w:val="000361BF"/>
    <w:rsid w:val="00050276"/>
    <w:rsid w:val="0005747C"/>
    <w:rsid w:val="00061E3B"/>
    <w:rsid w:val="000647C6"/>
    <w:rsid w:val="00083DCD"/>
    <w:rsid w:val="000D0E52"/>
    <w:rsid w:val="000D3072"/>
    <w:rsid w:val="000E3AAC"/>
    <w:rsid w:val="00120543"/>
    <w:rsid w:val="00126B75"/>
    <w:rsid w:val="0013403B"/>
    <w:rsid w:val="001347D4"/>
    <w:rsid w:val="001446D9"/>
    <w:rsid w:val="001516E8"/>
    <w:rsid w:val="0015652C"/>
    <w:rsid w:val="00166FA1"/>
    <w:rsid w:val="001810FC"/>
    <w:rsid w:val="001A6E55"/>
    <w:rsid w:val="001A72E4"/>
    <w:rsid w:val="001A7D4C"/>
    <w:rsid w:val="001E055A"/>
    <w:rsid w:val="001E0562"/>
    <w:rsid w:val="001F7377"/>
    <w:rsid w:val="0022106B"/>
    <w:rsid w:val="002234BA"/>
    <w:rsid w:val="002360D3"/>
    <w:rsid w:val="0024557D"/>
    <w:rsid w:val="0025659B"/>
    <w:rsid w:val="002754F3"/>
    <w:rsid w:val="0028121A"/>
    <w:rsid w:val="00295564"/>
    <w:rsid w:val="002E07E3"/>
    <w:rsid w:val="002E3693"/>
    <w:rsid w:val="00305A44"/>
    <w:rsid w:val="00316480"/>
    <w:rsid w:val="003167DC"/>
    <w:rsid w:val="003219AB"/>
    <w:rsid w:val="0034153A"/>
    <w:rsid w:val="0034178B"/>
    <w:rsid w:val="003448F7"/>
    <w:rsid w:val="00344F70"/>
    <w:rsid w:val="00345693"/>
    <w:rsid w:val="00347B1E"/>
    <w:rsid w:val="0036352D"/>
    <w:rsid w:val="00377C18"/>
    <w:rsid w:val="00380BB1"/>
    <w:rsid w:val="00383507"/>
    <w:rsid w:val="0039160D"/>
    <w:rsid w:val="003A3872"/>
    <w:rsid w:val="003B1C1E"/>
    <w:rsid w:val="003B1E77"/>
    <w:rsid w:val="003B774D"/>
    <w:rsid w:val="003E0C1C"/>
    <w:rsid w:val="003E19DC"/>
    <w:rsid w:val="003F709F"/>
    <w:rsid w:val="00405F86"/>
    <w:rsid w:val="004230DD"/>
    <w:rsid w:val="00425D87"/>
    <w:rsid w:val="0042620D"/>
    <w:rsid w:val="00426F21"/>
    <w:rsid w:val="004337BD"/>
    <w:rsid w:val="0043417F"/>
    <w:rsid w:val="00446BB1"/>
    <w:rsid w:val="00451FEC"/>
    <w:rsid w:val="0045263A"/>
    <w:rsid w:val="004529DB"/>
    <w:rsid w:val="00472556"/>
    <w:rsid w:val="00482391"/>
    <w:rsid w:val="004874E2"/>
    <w:rsid w:val="004902C4"/>
    <w:rsid w:val="00495E72"/>
    <w:rsid w:val="004A1737"/>
    <w:rsid w:val="004A4785"/>
    <w:rsid w:val="004B0DBA"/>
    <w:rsid w:val="004C1F38"/>
    <w:rsid w:val="004C34B0"/>
    <w:rsid w:val="004C3966"/>
    <w:rsid w:val="004D1F1E"/>
    <w:rsid w:val="004E654D"/>
    <w:rsid w:val="00501E3C"/>
    <w:rsid w:val="00504C5F"/>
    <w:rsid w:val="005069AA"/>
    <w:rsid w:val="005261AE"/>
    <w:rsid w:val="00534018"/>
    <w:rsid w:val="0054209A"/>
    <w:rsid w:val="0054411D"/>
    <w:rsid w:val="00544715"/>
    <w:rsid w:val="00544FD7"/>
    <w:rsid w:val="00551FC6"/>
    <w:rsid w:val="00554344"/>
    <w:rsid w:val="005556B1"/>
    <w:rsid w:val="00562A6F"/>
    <w:rsid w:val="00570A35"/>
    <w:rsid w:val="005731A1"/>
    <w:rsid w:val="00574B75"/>
    <w:rsid w:val="00575876"/>
    <w:rsid w:val="00596F62"/>
    <w:rsid w:val="005B02DF"/>
    <w:rsid w:val="005C2994"/>
    <w:rsid w:val="005C7188"/>
    <w:rsid w:val="005E63A3"/>
    <w:rsid w:val="006060D3"/>
    <w:rsid w:val="006134A0"/>
    <w:rsid w:val="00615225"/>
    <w:rsid w:val="00623D3C"/>
    <w:rsid w:val="00632AD9"/>
    <w:rsid w:val="00660A21"/>
    <w:rsid w:val="006878CE"/>
    <w:rsid w:val="0069538A"/>
    <w:rsid w:val="006A3679"/>
    <w:rsid w:val="006B0416"/>
    <w:rsid w:val="006B44F0"/>
    <w:rsid w:val="006D0389"/>
    <w:rsid w:val="006D56C3"/>
    <w:rsid w:val="006E5DFF"/>
    <w:rsid w:val="00710CDA"/>
    <w:rsid w:val="007143F8"/>
    <w:rsid w:val="0073715D"/>
    <w:rsid w:val="00743CDD"/>
    <w:rsid w:val="007576A3"/>
    <w:rsid w:val="00762FC2"/>
    <w:rsid w:val="007A1C2B"/>
    <w:rsid w:val="007A1F3D"/>
    <w:rsid w:val="007B2282"/>
    <w:rsid w:val="007C2B68"/>
    <w:rsid w:val="007D2342"/>
    <w:rsid w:val="007E137A"/>
    <w:rsid w:val="007E7C84"/>
    <w:rsid w:val="007F3188"/>
    <w:rsid w:val="007F6D0F"/>
    <w:rsid w:val="008035C2"/>
    <w:rsid w:val="00803D7E"/>
    <w:rsid w:val="00812C67"/>
    <w:rsid w:val="00825E99"/>
    <w:rsid w:val="00832AF4"/>
    <w:rsid w:val="00836B78"/>
    <w:rsid w:val="00852C97"/>
    <w:rsid w:val="008538C2"/>
    <w:rsid w:val="00853F99"/>
    <w:rsid w:val="008679CD"/>
    <w:rsid w:val="00875985"/>
    <w:rsid w:val="0088701B"/>
    <w:rsid w:val="008876EA"/>
    <w:rsid w:val="008B0DEC"/>
    <w:rsid w:val="008D761A"/>
    <w:rsid w:val="008F2320"/>
    <w:rsid w:val="008F7AB4"/>
    <w:rsid w:val="00900E8E"/>
    <w:rsid w:val="00907A50"/>
    <w:rsid w:val="0091453B"/>
    <w:rsid w:val="00930540"/>
    <w:rsid w:val="0094752F"/>
    <w:rsid w:val="00970718"/>
    <w:rsid w:val="0097313B"/>
    <w:rsid w:val="009761A9"/>
    <w:rsid w:val="0097663E"/>
    <w:rsid w:val="009B15FA"/>
    <w:rsid w:val="009B4306"/>
    <w:rsid w:val="009C5FA6"/>
    <w:rsid w:val="009F573C"/>
    <w:rsid w:val="00A07E1B"/>
    <w:rsid w:val="00A12C19"/>
    <w:rsid w:val="00A260F6"/>
    <w:rsid w:val="00A30F46"/>
    <w:rsid w:val="00A33D56"/>
    <w:rsid w:val="00A36A65"/>
    <w:rsid w:val="00A41B65"/>
    <w:rsid w:val="00A502E8"/>
    <w:rsid w:val="00A5343C"/>
    <w:rsid w:val="00A60A23"/>
    <w:rsid w:val="00A71B98"/>
    <w:rsid w:val="00A82FC4"/>
    <w:rsid w:val="00A926D8"/>
    <w:rsid w:val="00AC3E24"/>
    <w:rsid w:val="00AC6C4A"/>
    <w:rsid w:val="00AD0500"/>
    <w:rsid w:val="00AD35AB"/>
    <w:rsid w:val="00AE3015"/>
    <w:rsid w:val="00AF28C4"/>
    <w:rsid w:val="00B03A01"/>
    <w:rsid w:val="00B07FE6"/>
    <w:rsid w:val="00B146E1"/>
    <w:rsid w:val="00B24C51"/>
    <w:rsid w:val="00B33F5E"/>
    <w:rsid w:val="00B35D33"/>
    <w:rsid w:val="00B42D11"/>
    <w:rsid w:val="00B466AD"/>
    <w:rsid w:val="00B4788E"/>
    <w:rsid w:val="00B660DE"/>
    <w:rsid w:val="00B8631B"/>
    <w:rsid w:val="00BA5A24"/>
    <w:rsid w:val="00BB0A27"/>
    <w:rsid w:val="00BB157B"/>
    <w:rsid w:val="00BB233A"/>
    <w:rsid w:val="00BB3F5B"/>
    <w:rsid w:val="00BB4DBB"/>
    <w:rsid w:val="00BB5785"/>
    <w:rsid w:val="00BC3661"/>
    <w:rsid w:val="00BD1600"/>
    <w:rsid w:val="00BD7B25"/>
    <w:rsid w:val="00BE512D"/>
    <w:rsid w:val="00BF38B9"/>
    <w:rsid w:val="00C0266E"/>
    <w:rsid w:val="00C41835"/>
    <w:rsid w:val="00C438F9"/>
    <w:rsid w:val="00C50793"/>
    <w:rsid w:val="00C55C83"/>
    <w:rsid w:val="00C70E11"/>
    <w:rsid w:val="00C7407E"/>
    <w:rsid w:val="00C755B2"/>
    <w:rsid w:val="00C80804"/>
    <w:rsid w:val="00C95778"/>
    <w:rsid w:val="00CA4D72"/>
    <w:rsid w:val="00CA6419"/>
    <w:rsid w:val="00CD0A1E"/>
    <w:rsid w:val="00CE6D4F"/>
    <w:rsid w:val="00D002E3"/>
    <w:rsid w:val="00D0765E"/>
    <w:rsid w:val="00D104E8"/>
    <w:rsid w:val="00D21CF4"/>
    <w:rsid w:val="00D25072"/>
    <w:rsid w:val="00D35F58"/>
    <w:rsid w:val="00D36D3C"/>
    <w:rsid w:val="00D402A9"/>
    <w:rsid w:val="00D67CC0"/>
    <w:rsid w:val="00D81D02"/>
    <w:rsid w:val="00D87B29"/>
    <w:rsid w:val="00DA10F4"/>
    <w:rsid w:val="00DB7A05"/>
    <w:rsid w:val="00DC36CB"/>
    <w:rsid w:val="00DD166C"/>
    <w:rsid w:val="00DE1EAF"/>
    <w:rsid w:val="00DE38DE"/>
    <w:rsid w:val="00DE738C"/>
    <w:rsid w:val="00DF3347"/>
    <w:rsid w:val="00DF780E"/>
    <w:rsid w:val="00E161A2"/>
    <w:rsid w:val="00E17A66"/>
    <w:rsid w:val="00E41087"/>
    <w:rsid w:val="00E44558"/>
    <w:rsid w:val="00E47B40"/>
    <w:rsid w:val="00E546ED"/>
    <w:rsid w:val="00E54EED"/>
    <w:rsid w:val="00E6024D"/>
    <w:rsid w:val="00E66BDF"/>
    <w:rsid w:val="00E71D79"/>
    <w:rsid w:val="00E82BEC"/>
    <w:rsid w:val="00E97E91"/>
    <w:rsid w:val="00EA6E64"/>
    <w:rsid w:val="00EA7B29"/>
    <w:rsid w:val="00EB5793"/>
    <w:rsid w:val="00EC0911"/>
    <w:rsid w:val="00ED24F4"/>
    <w:rsid w:val="00F11C6B"/>
    <w:rsid w:val="00F1498A"/>
    <w:rsid w:val="00F33A41"/>
    <w:rsid w:val="00F37C05"/>
    <w:rsid w:val="00F455C3"/>
    <w:rsid w:val="00F70EE0"/>
    <w:rsid w:val="00F767DF"/>
    <w:rsid w:val="00F84B96"/>
    <w:rsid w:val="00F97CF5"/>
    <w:rsid w:val="00FA6FC9"/>
    <w:rsid w:val="00FA78A6"/>
    <w:rsid w:val="00FC272A"/>
    <w:rsid w:val="00FD01A2"/>
    <w:rsid w:val="00FE6811"/>
    <w:rsid w:val="00FF433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EDA539B8AE7DE386F61C93A982E85A960B759ACE469E3A6FBF29262A720098FBFE4B2DFF23DB6EfFS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452C-6DD8-424E-8017-78739C7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tivn</dc:creator>
  <cp:keywords/>
  <dc:description/>
  <cp:lastModifiedBy>informs</cp:lastModifiedBy>
  <cp:revision>63</cp:revision>
  <cp:lastPrinted>2022-04-07T14:26:00Z</cp:lastPrinted>
  <dcterms:created xsi:type="dcterms:W3CDTF">2017-03-15T13:25:00Z</dcterms:created>
  <dcterms:modified xsi:type="dcterms:W3CDTF">2022-04-08T07:52:00Z</dcterms:modified>
</cp:coreProperties>
</file>